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i w:val="0"/>
          <w:smallCaps w:val="0"/>
          <w:color w:val="000000"/>
          <w:sz w:val="28"/>
          <w:szCs w:val="28"/>
        </w:rPr>
      </w:pPr>
      <w:r w:rsidDel="00000000" w:rsidR="00000000" w:rsidRPr="00000000">
        <w:rPr>
          <w:rFonts w:ascii="Arial" w:cs="Arial" w:eastAsia="Arial" w:hAnsi="Arial"/>
          <w:b w:val="1"/>
          <w:i w:val="0"/>
          <w:smallCaps w:val="0"/>
          <w:color w:val="000000"/>
          <w:sz w:val="28"/>
          <w:szCs w:val="28"/>
          <w:rtl w:val="0"/>
        </w:rPr>
        <w:t xml:space="preserve">Claves para implementar una bitácora de limpieza exitosa en tu negocio</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expertos de Karcher te explican paso a paso cómo crear una guía estructurada para gestionar la higiene en tu empresa con un mayor control y eficacia.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1"/>
          <w:sz w:val="21"/>
          <w:szCs w:val="21"/>
          <w:highlight w:val="white"/>
          <w:rtl w:val="0"/>
        </w:rPr>
        <w:t xml:space="preserve">Ciudad de México, 12 de </w:t>
      </w:r>
      <w:r w:rsidDel="00000000" w:rsidR="00000000" w:rsidRPr="00000000">
        <w:rPr>
          <w:rFonts w:ascii="Arial" w:cs="Arial" w:eastAsia="Arial" w:hAnsi="Arial"/>
          <w:b w:val="1"/>
          <w:sz w:val="21"/>
          <w:szCs w:val="21"/>
          <w:highlight w:val="white"/>
          <w:rtl w:val="0"/>
        </w:rPr>
        <w:t xml:space="preserve">junio de 2025.-</w:t>
      </w:r>
      <w:r w:rsidDel="00000000" w:rsidR="00000000" w:rsidRPr="00000000">
        <w:rPr>
          <w:rFonts w:ascii="Arial" w:cs="Arial" w:eastAsia="Arial" w:hAnsi="Arial"/>
          <w:b w:val="1"/>
          <w:sz w:val="21"/>
          <w:szCs w:val="21"/>
          <w:highlight w:val="white"/>
          <w:rtl w:val="0"/>
        </w:rPr>
        <w:t xml:space="preserve"> </w:t>
      </w:r>
      <w:r w:rsidDel="00000000" w:rsidR="00000000" w:rsidRPr="00000000">
        <w:rPr>
          <w:rFonts w:ascii="Arial" w:cs="Arial" w:eastAsia="Arial" w:hAnsi="Arial"/>
          <w:b w:val="0"/>
          <w:sz w:val="21"/>
          <w:szCs w:val="21"/>
          <w:rtl w:val="0"/>
        </w:rPr>
        <w:t xml:space="preserve">En </w:t>
      </w:r>
      <w:r w:rsidDel="00000000" w:rsidR="00000000" w:rsidRPr="00000000">
        <w:rPr>
          <w:rFonts w:ascii="Arial" w:cs="Arial" w:eastAsia="Arial" w:hAnsi="Arial"/>
          <w:sz w:val="21"/>
          <w:szCs w:val="21"/>
          <w:rtl w:val="0"/>
        </w:rPr>
        <w:t xml:space="preserve">muchas empresas la limpieza se asume como rutina, pero rara vez se gestiona con la precisión que exige el entorno actual. Sin embargo, una simple hoja de papel —pegada a la pared, organizada con fechas y tareas— puede convertirse en una poderosa herramienta de control y prevención: la bitácora de limpieza.</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Fonts w:ascii="Arial" w:cs="Arial" w:eastAsia="Arial" w:hAnsi="Arial"/>
          <w:sz w:val="21"/>
          <w:szCs w:val="21"/>
          <w:rtl w:val="0"/>
        </w:rPr>
        <w:t xml:space="preserve">Más allá del cumplimiento normativo, contar con un sistema de registro ayuda a estandarizar procesos, distribuir responsabilidades y mantener espacios seguros, especialmente en entornos donde la higiene impacta directamente en la operación.</w:t>
      </w: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w:t>
      </w:r>
      <w:r w:rsidDel="00000000" w:rsidR="00000000" w:rsidRPr="00000000">
        <w:rPr>
          <w:rFonts w:ascii="Arial" w:cs="Arial" w:eastAsia="Arial" w:hAnsi="Arial"/>
          <w:i w:val="1"/>
          <w:sz w:val="22"/>
          <w:szCs w:val="22"/>
          <w:rtl w:val="0"/>
        </w:rPr>
        <w:t xml:space="preserve">Una bitácora de limpieza no es solo una lista; es un sistema para evaluar el cumplimiento de tareas, prevenir omisiones y promover una cultura organizacional enfocada en el cuidado del entorno de trabajo. Gracias a los avances de la tecnología, hoy tenemos la posibilidad de hacer de la limpieza una labor más eficiente, sostenible y medible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trike w:val="0"/>
          <w:color w:val="000000"/>
          <w:sz w:val="22"/>
          <w:szCs w:val="22"/>
          <w:u w:val="none"/>
          <w:rtl w:val="0"/>
        </w:rPr>
        <w:t xml:space="preserve">comentó</w:t>
      </w:r>
      <w:r w:rsidDel="00000000" w:rsidR="00000000" w:rsidRPr="00000000">
        <w:rPr>
          <w:rFonts w:ascii="Arial" w:cs="Arial" w:eastAsia="Arial" w:hAnsi="Arial"/>
          <w:b w:val="1"/>
          <w:i w:val="0"/>
          <w:strike w:val="0"/>
          <w:color w:val="000000"/>
          <w:sz w:val="22"/>
          <w:szCs w:val="22"/>
          <w:u w:val="none"/>
          <w:rtl w:val="0"/>
        </w:rPr>
        <w:t xml:space="preserve"> Sergio Almazán</w:t>
      </w:r>
      <w:r w:rsidDel="00000000" w:rsidR="00000000" w:rsidRPr="00000000">
        <w:rPr>
          <w:rFonts w:ascii="Arial" w:cs="Arial" w:eastAsia="Arial" w:hAnsi="Arial"/>
          <w:b w:val="0"/>
          <w:i w:val="0"/>
          <w:strike w:val="0"/>
          <w:color w:val="000000"/>
          <w:sz w:val="22"/>
          <w:szCs w:val="22"/>
          <w:u w:val="none"/>
          <w:rtl w:val="0"/>
        </w:rPr>
        <w:t xml:space="preserve">, Especialista en Producto para </w:t>
      </w:r>
      <w:r w:rsidDel="00000000" w:rsidR="00000000" w:rsidRPr="00000000">
        <w:rPr>
          <w:rFonts w:ascii="Arial" w:cs="Arial" w:eastAsia="Arial" w:hAnsi="Arial"/>
          <w:b w:val="1"/>
          <w:i w:val="0"/>
          <w:strike w:val="0"/>
          <w:color w:val="000000"/>
          <w:sz w:val="22"/>
          <w:szCs w:val="22"/>
          <w:u w:val="none"/>
          <w:rtl w:val="0"/>
        </w:rPr>
        <w:t xml:space="preserve">Karcher México</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Fonts w:ascii="Arial" w:cs="Arial" w:eastAsia="Arial" w:hAnsi="Arial"/>
          <w:sz w:val="22"/>
          <w:szCs w:val="22"/>
          <w:rtl w:val="0"/>
        </w:rPr>
        <w:t xml:space="preserve">A partir de esta premisa, el experto comparte los pasos clave para implementar una bitácora de limpieza funcional y sostenible en cualquier entorno empresarial:</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Fonts w:ascii="Arial" w:cs="Arial" w:eastAsia="Arial" w:hAnsi="Arial"/>
          <w:b w:val="1"/>
          <w:sz w:val="22"/>
          <w:szCs w:val="22"/>
          <w:rtl w:val="0"/>
        </w:rPr>
        <w:t xml:space="preserve">1. Mapea las zonas críticas (no todo se limpia igual)</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primer paso no es imprimir una hoja: es observar. Cada empresa tiene zonas con diferente nivel de exposición y uso, y cada una requiere su propio tratamiento. Una oficina puede tener escritorios y salas de juntas que requieren limpieza básica diaria, mientras que una cocina industrial, un taller o una bodega necesitan protocolos más exigentes por razones de seguridad o salubridad. Haz un recorrido físico del lugar. Toma nota de las áreas con más tránsito, puntos de contacto frecuente (manijas, interruptores, superficies comunes) que acumulen humedad o residuos. Recuerda que la bitácora debe reflejar esta variedad. </w:t>
      </w:r>
    </w:p>
    <w:p w:rsidR="00000000" w:rsidDel="00000000" w:rsidP="00000000" w:rsidRDefault="00000000" w:rsidRPr="00000000" w14:paraId="0000000C">
      <w:pPr>
        <w:spacing w:after="240" w:before="240" w:lineRule="auto"/>
        <w:jc w:val="both"/>
        <w:rPr/>
      </w:pPr>
      <w:r w:rsidDel="00000000" w:rsidR="00000000" w:rsidRPr="00000000">
        <w:rPr>
          <w:rFonts w:ascii="Arial" w:cs="Arial" w:eastAsia="Arial" w:hAnsi="Arial"/>
          <w:b w:val="1"/>
          <w:sz w:val="22"/>
          <w:szCs w:val="22"/>
          <w:rtl w:val="0"/>
        </w:rPr>
        <w:t xml:space="preserve">2. Determina frecuencias realistas y responsables claros</w:t>
      </w:r>
      <w:r w:rsidDel="00000000" w:rsidR="00000000" w:rsidRPr="00000000">
        <w:rPr>
          <w:rtl w:val="0"/>
        </w:rPr>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error común es copiar rutinas de limpieza de otros sectores sin considerar la operación diaria de la empresa. La clave está en adaptar la frecuencia a la actividad. Por ejemplo, un baño en planta de producción probablemente requerirá múltiples limpiezas al día, mientras que una sala de juntas puede limpiarse al iniciar y terminar la jornada laboral. </w:t>
      </w:r>
    </w:p>
    <w:p w:rsidR="00000000" w:rsidDel="00000000" w:rsidP="00000000" w:rsidRDefault="00000000" w:rsidRPr="00000000" w14:paraId="0000000E">
      <w:pPr>
        <w:spacing w:after="240" w:before="240" w:lineRule="auto"/>
        <w:jc w:val="both"/>
        <w:rPr/>
      </w:pPr>
      <w:r w:rsidDel="00000000" w:rsidR="00000000" w:rsidRPr="00000000">
        <w:rPr>
          <w:rFonts w:ascii="Arial" w:cs="Arial" w:eastAsia="Arial" w:hAnsi="Arial"/>
          <w:sz w:val="22"/>
          <w:szCs w:val="22"/>
          <w:rtl w:val="0"/>
        </w:rPr>
        <w:t xml:space="preserve">Define qué días y horarios se harán las limpiezas, con qué nivel de profundidad y quién es el responsable directo. Incluir un espacio para firma o check es trazabilidad. Además, permite que supervisores detecten desviaciones o acumulaciones antes de que se conviertan en problemas mayores.</w:t>
      </w: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Fonts w:ascii="Arial" w:cs="Arial" w:eastAsia="Arial" w:hAnsi="Arial"/>
          <w:b w:val="1"/>
          <w:sz w:val="22"/>
          <w:szCs w:val="22"/>
          <w:rtl w:val="0"/>
        </w:rPr>
        <w:t xml:space="preserve">3. Usa herramientas que hagan la tarea más eficiente (y sostenible)</w:t>
      </w: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Fonts w:ascii="Arial" w:cs="Arial" w:eastAsia="Arial" w:hAnsi="Arial"/>
          <w:sz w:val="22"/>
          <w:szCs w:val="22"/>
          <w:rtl w:val="0"/>
        </w:rPr>
        <w:t xml:space="preserve">Llevar una bitácora es una práctica organizacional, pero ponerla en marcha requiere algo más que buenas intenciones. El personal necesita soluciones que les permitan cumplir con los estándares sin perder tiempo ni desgastarse innecesariamente.</w:t>
      </w:r>
      <w:r w:rsidDel="00000000" w:rsidR="00000000" w:rsidRPr="00000000">
        <w:rPr>
          <w:rtl w:val="0"/>
        </w:rPr>
      </w:r>
    </w:p>
    <w:p w:rsidR="00000000" w:rsidDel="00000000" w:rsidP="00000000" w:rsidRDefault="00000000" w:rsidRPr="00000000" w14:paraId="0000001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tareas de desinfección profunda en espacios sensibles como cocinas, sanitarios o áreas comunes, la </w:t>
      </w:r>
      <w:hyperlink r:id="rId7">
        <w:r w:rsidDel="00000000" w:rsidR="00000000" w:rsidRPr="00000000">
          <w:rPr>
            <w:rFonts w:ascii="Arial" w:cs="Arial" w:eastAsia="Arial" w:hAnsi="Arial"/>
            <w:b w:val="1"/>
            <w:color w:val="467886"/>
            <w:sz w:val="22"/>
            <w:szCs w:val="22"/>
            <w:u w:val="single"/>
            <w:rtl w:val="0"/>
          </w:rPr>
          <w:t xml:space="preserve">Limpiadora de vapor SG 4/4</w:t>
        </w:r>
      </w:hyperlink>
      <w:r w:rsidDel="00000000" w:rsidR="00000000" w:rsidRPr="00000000">
        <w:rPr>
          <w:rFonts w:ascii="Arial" w:cs="Arial" w:eastAsia="Arial" w:hAnsi="Arial"/>
          <w:sz w:val="22"/>
          <w:szCs w:val="22"/>
          <w:rtl w:val="0"/>
        </w:rPr>
        <w:t xml:space="preserve"> ofrece una alternativa eficaz sin químicos. Funciona únicamente con agua, lo que protege tanto la salud del usuario como las superficies tratadas, eliminando el uso de detergentes agresivos. En superficies más amplias o en rutinas de limpieza intensiva, una solución como la </w:t>
      </w:r>
      <w:hyperlink r:id="rId8">
        <w:r w:rsidDel="00000000" w:rsidR="00000000" w:rsidRPr="00000000">
          <w:rPr>
            <w:rFonts w:ascii="Arial" w:cs="Arial" w:eastAsia="Arial" w:hAnsi="Arial"/>
            <w:b w:val="1"/>
            <w:color w:val="467886"/>
            <w:sz w:val="22"/>
            <w:szCs w:val="22"/>
            <w:u w:val="single"/>
            <w:rtl w:val="0"/>
          </w:rPr>
          <w:t xml:space="preserve">fregadora-aspiradora BD 70/75</w:t>
        </w:r>
      </w:hyperlink>
      <w:r w:rsidDel="00000000" w:rsidR="00000000" w:rsidRPr="00000000">
        <w:rPr>
          <w:rFonts w:ascii="Arial" w:cs="Arial" w:eastAsia="Arial" w:hAnsi="Arial"/>
          <w:sz w:val="22"/>
          <w:szCs w:val="22"/>
          <w:rtl w:val="0"/>
        </w:rPr>
        <w:t xml:space="preserve"> permite mantener el ritmo de trabajo sin comprometer resultados. Su diseño compacto y maniobrable facilita la operación incluso en espacios complejos, y su tecnología de batería asegura largos periodos de trabajo continuo. </w:t>
      </w:r>
    </w:p>
    <w:p w:rsidR="00000000" w:rsidDel="00000000" w:rsidP="00000000" w:rsidRDefault="00000000" w:rsidRPr="00000000" w14:paraId="0000001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Ambos equipos forman parte del amplio portafolio</w:t>
      </w:r>
      <w:r w:rsidDel="00000000" w:rsidR="00000000" w:rsidRPr="00000000">
        <w:rPr>
          <w:rFonts w:ascii="Arial" w:cs="Arial" w:eastAsia="Arial" w:hAnsi="Arial"/>
          <w:sz w:val="22"/>
          <w:szCs w:val="22"/>
          <w:rtl w:val="0"/>
        </w:rPr>
        <w:t xml:space="preserve"> profesional de</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líder mundial en soluciones de limpieza para el hogar, la industria y el comercio</w:t>
      </w:r>
      <w:r w:rsidDel="00000000" w:rsidR="00000000" w:rsidRPr="00000000">
        <w:rPr>
          <w:rFonts w:ascii="Arial" w:cs="Arial" w:eastAsia="Arial" w:hAnsi="Arial"/>
          <w:sz w:val="22"/>
          <w:szCs w:val="22"/>
          <w:rtl w:val="0"/>
        </w:rPr>
        <w:t xml:space="preserve">, que en este 2025 celebra 90 años de historia.</w:t>
      </w:r>
    </w:p>
    <w:p w:rsidR="00000000" w:rsidDel="00000000" w:rsidP="00000000" w:rsidRDefault="00000000" w:rsidRPr="00000000" w14:paraId="00000013">
      <w:pPr>
        <w:spacing w:after="240" w:before="240" w:lineRule="auto"/>
        <w:jc w:val="both"/>
        <w:rPr/>
      </w:pPr>
      <w:r w:rsidDel="00000000" w:rsidR="00000000" w:rsidRPr="00000000">
        <w:rPr>
          <w:rFonts w:ascii="Arial" w:cs="Arial" w:eastAsia="Arial" w:hAnsi="Arial"/>
          <w:b w:val="1"/>
          <w:sz w:val="22"/>
          <w:szCs w:val="22"/>
          <w:rtl w:val="0"/>
        </w:rPr>
        <w:t xml:space="preserve">4. Diseña un formato simple y accesible</w:t>
      </w: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Fonts w:ascii="Arial" w:cs="Arial" w:eastAsia="Arial" w:hAnsi="Arial"/>
          <w:sz w:val="22"/>
          <w:szCs w:val="22"/>
          <w:rtl w:val="0"/>
        </w:rPr>
        <w:t xml:space="preserve">El mejor diseño es el que realmente se usa. Puedes crear un formato físico y colocarlo en cada área de limpieza, o bien un archivo digital compartido al que el personal acceda desde un celular o tableta. Lo esencial: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Zona o superficie intervenida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 realizada</w:t>
      </w:r>
    </w:p>
    <w:p w:rsidR="00000000" w:rsidDel="00000000" w:rsidP="00000000" w:rsidRDefault="00000000" w:rsidRPr="00000000" w14:paraId="00000019">
      <w:pPr>
        <w:numPr>
          <w:ilvl w:val="0"/>
          <w:numId w:val="1"/>
        </w:numPr>
        <w:spacing w:after="0"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Equipos utilizados: limpiadoras y aspiradores de vapor para sanitización, limpiadoras de alta presión para exteriores, fregadoras y fregadoras-aspiradoras para pisos.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 o iniciales del responsable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Observaciones (por ejemplo: “no se pudo limpiar por bloqueo de acceso”)</w:t>
      </w:r>
      <w:r w:rsidDel="00000000" w:rsidR="00000000" w:rsidRPr="00000000">
        <w:rPr>
          <w:rtl w:val="0"/>
        </w:rPr>
      </w:r>
    </w:p>
    <w:p w:rsidR="00000000" w:rsidDel="00000000" w:rsidP="00000000" w:rsidRDefault="00000000" w:rsidRPr="00000000" w14:paraId="0000001C">
      <w:pPr>
        <w:spacing w:after="240" w:before="240" w:lineRule="auto"/>
        <w:jc w:val="both"/>
        <w:rPr/>
      </w:pPr>
      <w:r w:rsidDel="00000000" w:rsidR="00000000" w:rsidRPr="00000000">
        <w:rPr>
          <w:rFonts w:ascii="Arial" w:cs="Arial" w:eastAsia="Arial" w:hAnsi="Arial"/>
          <w:b w:val="1"/>
          <w:sz w:val="22"/>
          <w:szCs w:val="22"/>
          <w:rtl w:val="0"/>
        </w:rPr>
        <w:t xml:space="preserve">5. Evalúa el cumplimiento y retroalimenta</w:t>
      </w:r>
      <w:r w:rsidDel="00000000" w:rsidR="00000000" w:rsidRPr="00000000">
        <w:rPr>
          <w:rtl w:val="0"/>
        </w:rPr>
      </w:r>
    </w:p>
    <w:p w:rsidR="00000000" w:rsidDel="00000000" w:rsidP="00000000" w:rsidRDefault="00000000" w:rsidRPr="00000000" w14:paraId="0000001D">
      <w:pPr>
        <w:spacing w:after="240" w:before="240" w:lineRule="auto"/>
        <w:jc w:val="both"/>
        <w:rPr/>
      </w:pPr>
      <w:r w:rsidDel="00000000" w:rsidR="00000000" w:rsidRPr="00000000">
        <w:rPr>
          <w:rFonts w:ascii="Arial" w:cs="Arial" w:eastAsia="Arial" w:hAnsi="Arial"/>
          <w:sz w:val="22"/>
          <w:szCs w:val="22"/>
          <w:rtl w:val="0"/>
        </w:rPr>
        <w:t xml:space="preserve">Cada mes —o cada semana, si hay alta rotación de tareas— es recomendable revisar la bitácora: ¿se están cumpliendo las frecuencias?, ¿hay zonas descuidadas?, ¿los productos son los adecuados?, ¿hay patrones de ausencias o errores? Este análisis no debe vivirse como auditoría, sino como parte del ciclo de mejora continua. </w:t>
      </w:r>
      <w:r w:rsidDel="00000000" w:rsidR="00000000" w:rsidRPr="00000000">
        <w:rPr>
          <w:rtl w:val="0"/>
        </w:rPr>
      </w:r>
    </w:p>
    <w:p w:rsidR="00000000" w:rsidDel="00000000" w:rsidP="00000000" w:rsidRDefault="00000000" w:rsidRPr="00000000" w14:paraId="0000001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Así, la bitácora de limpieza se convierte en un elemento fundamental del negocio para asegurar un entorno higiénico que prevenga virus, bacterias con métodos más amigables con el medio ambiente.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Sobre Karcher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1">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1"/>
          <w:szCs w:val="21"/>
        </w:rPr>
      </w:pPr>
      <w:r w:rsidDel="00000000" w:rsidR="00000000" w:rsidRPr="00000000">
        <w:rPr>
          <w:rtl w:val="0"/>
        </w:rPr>
      </w:r>
    </w:p>
    <w:sectPr>
      <w:headerReference r:id="rId12" w:type="default"/>
      <w:footerReference r:id="rId13"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6F7C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6F7C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6F7CA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6F7CA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6F7CA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6F7CA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paragraph" w:styleId="Ttulo">
    <w:name w:val="Title"/>
    <w:basedOn w:val="Normal"/>
    <w:next w:val="Normal"/>
    <w:link w:val="TtuloCar"/>
    <w:uiPriority w:val="10"/>
    <w:qFormat w:val="1"/>
    <w:rsid w:val="006F7CA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6F7CAD"/>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arco.zuniga@another.co" TargetMode="External"/><Relationship Id="rId10" Type="http://schemas.openxmlformats.org/officeDocument/2006/relationships/hyperlink" Target="http://www.kaercher.com/mx"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professional/limpiadoras-y-aspiradores-de-vapor/limpiadoras-de-vapor/sg-4-4-10928050.html" TargetMode="External"/><Relationship Id="rId8" Type="http://schemas.openxmlformats.org/officeDocument/2006/relationships/hyperlink" Target="https://www.kaercher.com/mx/professional/fregadoras-y-fregadoras-aspiradoras/fregadoras-aspiradoras-compactas-con-acompanante/bd-70-75-w-bp-pack-classic-eu-1127019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v1i90nS2Mo5moGt95RTP5NdWg==">CgMxLjA4AHIhMVV5d2cyMUl1TkRaM24xbUQyMUNfUk1LOTk2cVdiaDg4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